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1A9B" w14:textId="3457FA39" w:rsidR="006A1ED0" w:rsidRDefault="006A1ED0" w:rsidP="006A1ED0">
      <w:pPr>
        <w:jc w:val="center"/>
      </w:pPr>
      <w:r>
        <w:t>Invited Blog for BERA (British Educational Research Association) – November 2023</w:t>
      </w:r>
    </w:p>
    <w:p w14:paraId="3472E927" w14:textId="77777777" w:rsidR="006A1ED0" w:rsidRDefault="006A1ED0" w:rsidP="00BC728E"/>
    <w:p w14:paraId="07153CBD" w14:textId="20BE0282" w:rsidR="00DB1E48" w:rsidRPr="006A1ED0" w:rsidRDefault="00DB1E48" w:rsidP="006A1ED0">
      <w:pPr>
        <w:ind w:right="-188"/>
        <w:rPr>
          <w:b/>
          <w:bCs/>
        </w:rPr>
      </w:pPr>
      <w:r w:rsidRPr="006A1ED0">
        <w:rPr>
          <w:b/>
          <w:bCs/>
        </w:rPr>
        <w:t>Understanding and Improving the Wellbeing of Postgraduate Taught Students: A Longitudinal Study</w:t>
      </w:r>
    </w:p>
    <w:p w14:paraId="26B4B09E" w14:textId="77777777" w:rsidR="006A1ED0" w:rsidRDefault="006A1ED0" w:rsidP="00BC728E"/>
    <w:p w14:paraId="609D8549" w14:textId="31C7AA84" w:rsidR="006A1ED0" w:rsidRPr="00141B14" w:rsidRDefault="006A1ED0" w:rsidP="006A1ED0">
      <w:pPr>
        <w:ind w:right="-613"/>
      </w:pPr>
      <w:r>
        <w:t>By Paula J. Miles</w:t>
      </w:r>
    </w:p>
    <w:p w14:paraId="54C7C9AB" w14:textId="77777777" w:rsidR="00DB1E48" w:rsidRDefault="00DB1E48" w:rsidP="00BC728E"/>
    <w:p w14:paraId="0F908901" w14:textId="77777777" w:rsidR="00AB551D" w:rsidRDefault="00BC728E" w:rsidP="00BC728E">
      <w:r>
        <w:t xml:space="preserve">Previous literature acknowledges that student wellbeing is lower than </w:t>
      </w:r>
      <w:r w:rsidR="00B37FA1">
        <w:t xml:space="preserve">that of </w:t>
      </w:r>
      <w:r>
        <w:t xml:space="preserve">the </w:t>
      </w:r>
      <w:r w:rsidR="008E07E3">
        <w:t xml:space="preserve">general </w:t>
      </w:r>
      <w:r>
        <w:t xml:space="preserve">adult population (Stallman, 2010). </w:t>
      </w:r>
      <w:r w:rsidR="00AA6E97">
        <w:t xml:space="preserve">This is especially true for </w:t>
      </w:r>
      <w:r>
        <w:t xml:space="preserve">Postgraduate Taught </w:t>
      </w:r>
      <w:r w:rsidR="00B37FA1">
        <w:t xml:space="preserve">(PGT) </w:t>
      </w:r>
      <w:r>
        <w:t xml:space="preserve">students </w:t>
      </w:r>
      <w:r w:rsidR="00AA6E97">
        <w:t xml:space="preserve">who </w:t>
      </w:r>
      <w:r>
        <w:t xml:space="preserve">have been identified as </w:t>
      </w:r>
      <w:r w:rsidR="003E280C">
        <w:t>a</w:t>
      </w:r>
      <w:r w:rsidR="00FB04C4">
        <w:t xml:space="preserve"> </w:t>
      </w:r>
      <w:r w:rsidR="003E280C">
        <w:t>particularly</w:t>
      </w:r>
      <w:r>
        <w:t xml:space="preserve"> vulnerable </w:t>
      </w:r>
      <w:r w:rsidR="003E280C">
        <w:t>group</w:t>
      </w:r>
      <w:r w:rsidR="00CC3A59">
        <w:t xml:space="preserve">, </w:t>
      </w:r>
      <w:r w:rsidR="00AD78E9">
        <w:t xml:space="preserve">reporting the lowest levels of wellbeing in any </w:t>
      </w:r>
      <w:r w:rsidR="00CC3A59">
        <w:t xml:space="preserve">university </w:t>
      </w:r>
      <w:r w:rsidR="00AD78E9">
        <w:t xml:space="preserve">student </w:t>
      </w:r>
      <w:proofErr w:type="gramStart"/>
      <w:r w:rsidR="00AD78E9">
        <w:t>cohort</w:t>
      </w:r>
      <w:proofErr w:type="gramEnd"/>
      <w:r w:rsidR="00AD78E9">
        <w:t xml:space="preserve"> and being referred to as the ‘forgotten cohort’ (</w:t>
      </w:r>
      <w:proofErr w:type="spellStart"/>
      <w:r w:rsidR="00AD78E9">
        <w:t>Coneyworth</w:t>
      </w:r>
      <w:proofErr w:type="spellEnd"/>
      <w:r w:rsidR="00AD78E9">
        <w:t xml:space="preserve"> et al., 2019)</w:t>
      </w:r>
      <w:r>
        <w:t xml:space="preserve">. </w:t>
      </w:r>
      <w:r w:rsidR="004F736B">
        <w:t>With increasing numbers of PGT students across the UK</w:t>
      </w:r>
      <w:r w:rsidR="0005471D">
        <w:t xml:space="preserve">, </w:t>
      </w:r>
      <w:r w:rsidR="004E125D">
        <w:t xml:space="preserve">and </w:t>
      </w:r>
      <w:r w:rsidR="004F736B">
        <w:t xml:space="preserve">accounting for approximately 25% of the </w:t>
      </w:r>
      <w:r w:rsidR="00C94136">
        <w:t xml:space="preserve">student </w:t>
      </w:r>
      <w:r w:rsidR="004F736B">
        <w:t xml:space="preserve">body </w:t>
      </w:r>
      <w:r w:rsidR="00AB551D">
        <w:t>at UK universities</w:t>
      </w:r>
      <w:r w:rsidR="003F22CF">
        <w:t xml:space="preserve"> in 2021-2022</w:t>
      </w:r>
      <w:r w:rsidR="0005471D">
        <w:t xml:space="preserve"> (</w:t>
      </w:r>
      <w:r w:rsidR="00AB551D">
        <w:t>HE</w:t>
      </w:r>
      <w:r w:rsidR="008A1C71">
        <w:t>S</w:t>
      </w:r>
      <w:r w:rsidR="00AB551D">
        <w:t xml:space="preserve">A, </w:t>
      </w:r>
      <w:r w:rsidR="003F22CF">
        <w:t>2022)</w:t>
      </w:r>
      <w:r w:rsidR="0005471D">
        <w:t>,</w:t>
      </w:r>
      <w:r w:rsidR="0021090C">
        <w:t xml:space="preserve"> it is important </w:t>
      </w:r>
      <w:r w:rsidR="008825A5">
        <w:t xml:space="preserve">that </w:t>
      </w:r>
      <w:r w:rsidR="009215F4">
        <w:t>these</w:t>
      </w:r>
      <w:r w:rsidR="00480228">
        <w:t xml:space="preserve"> </w:t>
      </w:r>
      <w:r w:rsidR="00EC1A17">
        <w:t>student</w:t>
      </w:r>
      <w:r w:rsidR="009215F4">
        <w:t>s</w:t>
      </w:r>
      <w:r w:rsidR="00EC1A17">
        <w:t xml:space="preserve"> </w:t>
      </w:r>
      <w:r w:rsidR="009215F4">
        <w:t>are</w:t>
      </w:r>
      <w:r w:rsidR="00EC1A17">
        <w:t xml:space="preserve"> given the attention they deserve.</w:t>
      </w:r>
    </w:p>
    <w:p w14:paraId="36E4A3B6" w14:textId="77777777" w:rsidR="00AA6E97" w:rsidRDefault="00AA6E97" w:rsidP="00BC728E">
      <w:r>
        <w:t>Researchers have</w:t>
      </w:r>
      <w:r w:rsidR="00B37FA1">
        <w:t xml:space="preserve"> attributed </w:t>
      </w:r>
      <w:r w:rsidR="00E50CD3">
        <w:t xml:space="preserve">the poor wellbeing of </w:t>
      </w:r>
      <w:r w:rsidR="008E07E3">
        <w:t>PGT</w:t>
      </w:r>
      <w:r w:rsidR="00C41712">
        <w:t xml:space="preserve"> </w:t>
      </w:r>
      <w:r w:rsidR="008E07E3">
        <w:t>s</w:t>
      </w:r>
      <w:r w:rsidR="00C41712">
        <w:t>tudents</w:t>
      </w:r>
      <w:r w:rsidR="00E50CD3">
        <w:t xml:space="preserve"> </w:t>
      </w:r>
      <w:r w:rsidR="00C41712">
        <w:t xml:space="preserve">to their unique university experience – that is, </w:t>
      </w:r>
      <w:r w:rsidR="00B37FA1">
        <w:t xml:space="preserve">undergoing a great deal of change in a </w:t>
      </w:r>
      <w:r w:rsidR="00C41712">
        <w:t xml:space="preserve">very </w:t>
      </w:r>
      <w:r w:rsidR="00B37FA1">
        <w:t>short time frame</w:t>
      </w:r>
      <w:r w:rsidR="00955F96">
        <w:t>. I</w:t>
      </w:r>
      <w:r w:rsidR="00D860FF">
        <w:t xml:space="preserve">n the UK context this is </w:t>
      </w:r>
      <w:r w:rsidR="00387DE7">
        <w:t>typically one year of intense study comprising both taught and research components</w:t>
      </w:r>
      <w:r>
        <w:t xml:space="preserve">. Changes </w:t>
      </w:r>
      <w:r w:rsidR="00387DE7">
        <w:t xml:space="preserve">that PGTs </w:t>
      </w:r>
      <w:r w:rsidR="007F255D">
        <w:t xml:space="preserve">experience </w:t>
      </w:r>
      <w:r w:rsidR="004502A5">
        <w:t xml:space="preserve">over the span of their short degree </w:t>
      </w:r>
      <w:proofErr w:type="gramStart"/>
      <w:r w:rsidR="00BC728E">
        <w:t>includ</w:t>
      </w:r>
      <w:r>
        <w:t>e</w:t>
      </w:r>
      <w:r w:rsidR="00BC728E">
        <w:t>:</w:t>
      </w:r>
      <w:proofErr w:type="gramEnd"/>
      <w:r w:rsidR="00BC728E" w:rsidRPr="00770E72">
        <w:t xml:space="preserve"> </w:t>
      </w:r>
      <w:r w:rsidR="00955F96" w:rsidRPr="00770E72">
        <w:t xml:space="preserve">transitioning to a </w:t>
      </w:r>
      <w:r w:rsidR="00BC728E" w:rsidRPr="00770E72">
        <w:t>n</w:t>
      </w:r>
      <w:r w:rsidR="00BC728E">
        <w:t xml:space="preserve">ew learning environment; </w:t>
      </w:r>
      <w:r w:rsidR="0028497E">
        <w:t xml:space="preserve">experiencing </w:t>
      </w:r>
      <w:r w:rsidR="00BC728E" w:rsidRPr="00770E72">
        <w:t>high</w:t>
      </w:r>
      <w:r w:rsidR="008E07E3">
        <w:t>er</w:t>
      </w:r>
      <w:r w:rsidR="00BC728E" w:rsidRPr="00770E72">
        <w:t xml:space="preserve"> academic expectations; </w:t>
      </w:r>
      <w:r w:rsidR="005A7824">
        <w:t xml:space="preserve">adapting to </w:t>
      </w:r>
      <w:r>
        <w:t>new</w:t>
      </w:r>
      <w:r w:rsidR="00BC728E" w:rsidRPr="00770E72">
        <w:t xml:space="preserve"> living environment</w:t>
      </w:r>
      <w:r w:rsidR="00FB04C4">
        <w:t>s</w:t>
      </w:r>
      <w:r w:rsidR="00BC728E" w:rsidRPr="00770E72">
        <w:t xml:space="preserve">; </w:t>
      </w:r>
      <w:r w:rsidR="00632FBC">
        <w:t xml:space="preserve">developing </w:t>
      </w:r>
      <w:r w:rsidR="00BC728E" w:rsidRPr="00770E72">
        <w:t xml:space="preserve">new support systems; </w:t>
      </w:r>
      <w:r w:rsidR="00632FBC">
        <w:t xml:space="preserve">and, juggling </w:t>
      </w:r>
      <w:r w:rsidR="004E4BEE">
        <w:t xml:space="preserve">increased </w:t>
      </w:r>
      <w:r w:rsidR="00BC728E" w:rsidRPr="00770E72">
        <w:t>academic and personal responsibilities.</w:t>
      </w:r>
      <w:r w:rsidR="00BC728E">
        <w:t xml:space="preserve"> </w:t>
      </w:r>
    </w:p>
    <w:p w14:paraId="7C69475E" w14:textId="77777777" w:rsidR="00DD2734" w:rsidRDefault="00492100" w:rsidP="00492100">
      <w:r w:rsidRPr="003566A5">
        <w:t xml:space="preserve">If we want to help improve the wellbeing of our PGT students, we must first </w:t>
      </w:r>
      <w:r>
        <w:t>establish</w:t>
      </w:r>
      <w:r w:rsidRPr="003566A5">
        <w:t xml:space="preserve"> what </w:t>
      </w:r>
      <w:r>
        <w:t xml:space="preserve">the </w:t>
      </w:r>
      <w:r w:rsidRPr="003566A5">
        <w:t xml:space="preserve">wellbeing levels are for our </w:t>
      </w:r>
      <w:r>
        <w:t>PGT</w:t>
      </w:r>
      <w:r w:rsidRPr="003566A5">
        <w:t xml:space="preserve"> cohort</w:t>
      </w:r>
      <w:r>
        <w:t xml:space="preserve">. We can then </w:t>
      </w:r>
      <w:r w:rsidRPr="003566A5">
        <w:t xml:space="preserve">develop an understanding of </w:t>
      </w:r>
      <w:r>
        <w:t>the</w:t>
      </w:r>
      <w:r w:rsidRPr="003566A5">
        <w:t xml:space="preserve"> factors </w:t>
      </w:r>
      <w:r>
        <w:t xml:space="preserve">that </w:t>
      </w:r>
      <w:r w:rsidRPr="003566A5">
        <w:t xml:space="preserve">help and hinder </w:t>
      </w:r>
      <w:r>
        <w:t xml:space="preserve">our </w:t>
      </w:r>
      <w:r w:rsidRPr="003566A5">
        <w:t>PGT</w:t>
      </w:r>
      <w:r>
        <w:t>s’</w:t>
      </w:r>
      <w:r w:rsidRPr="003566A5">
        <w:t xml:space="preserve"> wellbeing.</w:t>
      </w:r>
      <w:r>
        <w:t xml:space="preserve"> With this knowledge, we </w:t>
      </w:r>
      <w:r w:rsidR="00651BE6">
        <w:t>will be</w:t>
      </w:r>
      <w:r>
        <w:t xml:space="preserve"> able to create targeted interventions to strengthen the wellbeing of our </w:t>
      </w:r>
      <w:r w:rsidR="00651BE6">
        <w:t xml:space="preserve">PGT </w:t>
      </w:r>
      <w:r>
        <w:t xml:space="preserve">students. </w:t>
      </w:r>
    </w:p>
    <w:p w14:paraId="6DE3E193" w14:textId="77777777" w:rsidR="00492100" w:rsidRDefault="00190AE5" w:rsidP="00FB04C4">
      <w:r>
        <w:t>Utilising a longitudinal mixed-methods design, over a five-year period, we have asked PGT student groups to complete questionnaires and participate in focus groups that centre around the theme of wellbeing. O</w:t>
      </w:r>
      <w:r w:rsidR="002E6B22">
        <w:t xml:space="preserve">ur </w:t>
      </w:r>
      <w:r w:rsidR="0068415D">
        <w:t xml:space="preserve">three </w:t>
      </w:r>
      <w:r w:rsidR="002E6B22" w:rsidRPr="00C649F9">
        <w:t xml:space="preserve">aims are: 1) </w:t>
      </w:r>
      <w:r w:rsidR="00D806D0">
        <w:t xml:space="preserve">to </w:t>
      </w:r>
      <w:r w:rsidR="002E6B22" w:rsidRPr="00C649F9">
        <w:t>monitor and better understand PGT</w:t>
      </w:r>
      <w:r w:rsidR="002E6B22">
        <w:t xml:space="preserve"> wellbeing across the</w:t>
      </w:r>
      <w:r w:rsidR="002E6B22" w:rsidRPr="00C649F9">
        <w:t xml:space="preserve"> academic year</w:t>
      </w:r>
      <w:r w:rsidR="00485E76">
        <w:t>,</w:t>
      </w:r>
      <w:r w:rsidR="002E6B22">
        <w:t xml:space="preserve"> u</w:t>
      </w:r>
      <w:r w:rsidR="00485E76">
        <w:t>tilis</w:t>
      </w:r>
      <w:r w:rsidR="002E6B22">
        <w:t xml:space="preserve">ing the CORE-GP </w:t>
      </w:r>
      <w:r w:rsidR="002F087F">
        <w:t>scale for wellbeing</w:t>
      </w:r>
      <w:r w:rsidR="002E6B22" w:rsidRPr="00C649F9">
        <w:t xml:space="preserve">; 2) </w:t>
      </w:r>
      <w:r w:rsidR="00D806D0">
        <w:t>to c</w:t>
      </w:r>
      <w:r w:rsidR="002E6B22" w:rsidRPr="00C649F9">
        <w:t xml:space="preserve">ompare </w:t>
      </w:r>
      <w:r w:rsidR="002E6B22">
        <w:t>PGT</w:t>
      </w:r>
      <w:r w:rsidR="002E6B22" w:rsidRPr="00C649F9">
        <w:t xml:space="preserve"> wellbeing</w:t>
      </w:r>
      <w:r w:rsidR="002E6B22">
        <w:t xml:space="preserve"> across multiple years</w:t>
      </w:r>
      <w:r w:rsidR="00485E76">
        <w:t xml:space="preserve"> -</w:t>
      </w:r>
      <w:r w:rsidR="002F087F">
        <w:t xml:space="preserve"> pre, during</w:t>
      </w:r>
      <w:r w:rsidR="00254CB8">
        <w:t xml:space="preserve"> </w:t>
      </w:r>
      <w:r w:rsidR="002F087F">
        <w:t>and post</w:t>
      </w:r>
      <w:r w:rsidR="00254CB8">
        <w:t xml:space="preserve"> COVID-19</w:t>
      </w:r>
      <w:r w:rsidR="002E6B22" w:rsidRPr="00C649F9">
        <w:t xml:space="preserve">; </w:t>
      </w:r>
      <w:proofErr w:type="gramStart"/>
      <w:r w:rsidR="00D806D0">
        <w:t>and,</w:t>
      </w:r>
      <w:proofErr w:type="gramEnd"/>
      <w:r w:rsidR="00D806D0">
        <w:t xml:space="preserve"> </w:t>
      </w:r>
      <w:r w:rsidR="002E6B22" w:rsidRPr="00C649F9">
        <w:t xml:space="preserve">3) </w:t>
      </w:r>
      <w:r w:rsidR="00F400B3">
        <w:t xml:space="preserve">to </w:t>
      </w:r>
      <w:r w:rsidR="002F087F">
        <w:t>impact</w:t>
      </w:r>
      <w:r w:rsidR="002E6B22" w:rsidRPr="00C649F9">
        <w:t xml:space="preserve"> university policy and practice by developing the tools necessary to support PGT wellbeing</w:t>
      </w:r>
      <w:r w:rsidR="002E6B22">
        <w:t xml:space="preserve">. </w:t>
      </w:r>
    </w:p>
    <w:p w14:paraId="5A51AB21" w14:textId="77777777" w:rsidR="00F146BB" w:rsidRDefault="009B3B32" w:rsidP="00BC728E">
      <w:r>
        <w:t>Preliminary f</w:t>
      </w:r>
      <w:r w:rsidR="00BC728E">
        <w:t xml:space="preserve">indings </w:t>
      </w:r>
      <w:r w:rsidR="00541765">
        <w:t>highlight that PGT wellbeing</w:t>
      </w:r>
      <w:r w:rsidR="00EB79DA">
        <w:t>, as measured by the CORE-GP,</w:t>
      </w:r>
      <w:r w:rsidR="00541765">
        <w:t xml:space="preserve"> </w:t>
      </w:r>
      <w:r w:rsidR="00FB04C4">
        <w:t>is</w:t>
      </w:r>
      <w:r w:rsidR="00541765">
        <w:t xml:space="preserve"> </w:t>
      </w:r>
      <w:r w:rsidR="00FB04C4">
        <w:t xml:space="preserve">consistently </w:t>
      </w:r>
      <w:r w:rsidR="00541765">
        <w:t>poor</w:t>
      </w:r>
      <w:r w:rsidR="00324698">
        <w:t xml:space="preserve"> across the year</w:t>
      </w:r>
      <w:r w:rsidR="00AF0E21">
        <w:t>. Interestingly, t</w:t>
      </w:r>
      <w:r w:rsidR="00324698">
        <w:t xml:space="preserve">his </w:t>
      </w:r>
      <w:r w:rsidR="008E07E3">
        <w:t>w</w:t>
      </w:r>
      <w:r w:rsidR="00324698">
        <w:t xml:space="preserve">as observed in each year </w:t>
      </w:r>
      <w:r w:rsidR="00AF0E21">
        <w:t>of our study (</w:t>
      </w:r>
      <w:r w:rsidR="00324698">
        <w:t xml:space="preserve">before, during and after </w:t>
      </w:r>
      <w:r w:rsidR="00AF0E21">
        <w:t>COVID-19</w:t>
      </w:r>
      <w:r w:rsidR="00B87961">
        <w:t>)</w:t>
      </w:r>
      <w:r w:rsidR="00AF0E21">
        <w:t>. This result</w:t>
      </w:r>
      <w:r w:rsidR="00324698">
        <w:t xml:space="preserve"> supports previous claims that PGT </w:t>
      </w:r>
      <w:r w:rsidR="00AF0E21">
        <w:t xml:space="preserve">wellbeing </w:t>
      </w:r>
      <w:r w:rsidR="00324698">
        <w:t>is worryingly low and needs to be addresse</w:t>
      </w:r>
      <w:r w:rsidR="00AF0E21">
        <w:t>d</w:t>
      </w:r>
      <w:r w:rsidR="00324698">
        <w:t xml:space="preserve"> as a matter of urgency</w:t>
      </w:r>
      <w:r w:rsidR="00324698" w:rsidRPr="00324698">
        <w:t xml:space="preserve">. </w:t>
      </w:r>
    </w:p>
    <w:p w14:paraId="0A1EEC08" w14:textId="77777777" w:rsidR="000F45D7" w:rsidRDefault="00324698" w:rsidP="000F45D7">
      <w:r w:rsidRPr="00324698">
        <w:t xml:space="preserve">Due to </w:t>
      </w:r>
      <w:r w:rsidR="00F146BB">
        <w:t>our</w:t>
      </w:r>
      <w:r w:rsidRPr="00324698">
        <w:t xml:space="preserve"> mixed-method</w:t>
      </w:r>
      <w:r w:rsidR="006A0923">
        <w:t>s</w:t>
      </w:r>
      <w:r w:rsidRPr="00324698">
        <w:t xml:space="preserve"> </w:t>
      </w:r>
      <w:r w:rsidR="003566A5">
        <w:t>approach</w:t>
      </w:r>
      <w:r w:rsidRPr="00324698">
        <w:t xml:space="preserve">, we are now in a good place to demonstrate which factors </w:t>
      </w:r>
      <w:r>
        <w:t>help and hinder</w:t>
      </w:r>
      <w:r w:rsidRPr="00324698">
        <w:t xml:space="preserve"> wellbeing</w:t>
      </w:r>
      <w:r w:rsidR="006F6F0A">
        <w:t xml:space="preserve">. </w:t>
      </w:r>
      <w:r w:rsidR="005B7279">
        <w:t xml:space="preserve">Preliminary </w:t>
      </w:r>
      <w:r w:rsidR="00B7792C">
        <w:t xml:space="preserve">analyses of qualitative data </w:t>
      </w:r>
      <w:r w:rsidR="005B7279">
        <w:t xml:space="preserve">suggest that social interaction, loneliness, stress, </w:t>
      </w:r>
      <w:proofErr w:type="gramStart"/>
      <w:r w:rsidR="005B7279">
        <w:t>housing</w:t>
      </w:r>
      <w:proofErr w:type="gramEnd"/>
      <w:r w:rsidR="005B7279">
        <w:t xml:space="preserve"> and issues relating to equality, diversity and inclusion are factor</w:t>
      </w:r>
      <w:r w:rsidR="00611C09">
        <w:t>s that</w:t>
      </w:r>
      <w:r w:rsidR="005B7279">
        <w:t xml:space="preserve"> </w:t>
      </w:r>
      <w:r w:rsidR="008C54F0">
        <w:t xml:space="preserve">can </w:t>
      </w:r>
      <w:r w:rsidR="005B7279">
        <w:t>negatively affect PGT wellbeing. Positive factors include</w:t>
      </w:r>
      <w:r w:rsidR="005B7279" w:rsidRPr="0068644D">
        <w:t xml:space="preserve"> the kindness and pastoral support of academic staff </w:t>
      </w:r>
      <w:r w:rsidR="005B7279">
        <w:t>as well as personal hobbies such as sport and nature activities</w:t>
      </w:r>
      <w:r w:rsidR="005B7279" w:rsidRPr="0068644D">
        <w:t xml:space="preserve">. </w:t>
      </w:r>
      <w:r w:rsidR="00701CC2" w:rsidRPr="00324698">
        <w:t xml:space="preserve">This provides us with vital information to aid in the development of interventions, which will be the next phase of our </w:t>
      </w:r>
      <w:r w:rsidR="00AA7D06">
        <w:t>project</w:t>
      </w:r>
      <w:r w:rsidR="00701CC2" w:rsidRPr="00324698">
        <w:t>.</w:t>
      </w:r>
    </w:p>
    <w:p w14:paraId="5F51969E" w14:textId="77777777" w:rsidR="000F45D7" w:rsidRDefault="000F45D7" w:rsidP="000F45D7">
      <w:r>
        <w:lastRenderedPageBreak/>
        <w:t>By carrying out this work over a period of 5 years and keeping the student voice at the heart of this work, we are ensuring that future interventions</w:t>
      </w:r>
      <w:r w:rsidR="00C94136">
        <w:t xml:space="preserve"> are appropriately tailored </w:t>
      </w:r>
      <w:r>
        <w:t xml:space="preserve">to the wellbeing needs of our </w:t>
      </w:r>
      <w:r w:rsidR="002D40BE">
        <w:t xml:space="preserve">PGT </w:t>
      </w:r>
      <w:r>
        <w:t xml:space="preserve">students. We believe that this work will bring about positive change for a cohort of students who are often overlooked and who we know experience significant challenges when completing their postgraduate studies. </w:t>
      </w:r>
    </w:p>
    <w:p w14:paraId="580C0F94" w14:textId="77777777" w:rsidR="002E7351" w:rsidRDefault="002E7351" w:rsidP="000F45D7"/>
    <w:p w14:paraId="61BE74FC" w14:textId="77777777" w:rsidR="005B7279" w:rsidRDefault="00AA7D06" w:rsidP="00BC728E">
      <w:r>
        <w:t xml:space="preserve">Research Team: </w:t>
      </w:r>
      <w:r w:rsidR="003A5C76">
        <w:t>Paula Miles, Veronica O’Carroll, Francesca Fotheringham, Francesca Marshall</w:t>
      </w:r>
    </w:p>
    <w:p w14:paraId="629AC7AE" w14:textId="77777777" w:rsidR="005B7279" w:rsidRDefault="005B7279" w:rsidP="00BC728E"/>
    <w:p w14:paraId="66EB39C5" w14:textId="77777777" w:rsidR="00141B14" w:rsidRDefault="00141B14" w:rsidP="003430A3">
      <w:pPr>
        <w:widowControl w:val="0"/>
        <w:autoSpaceDE w:val="0"/>
        <w:autoSpaceDN w:val="0"/>
        <w:adjustRightInd w:val="0"/>
        <w:ind w:left="426" w:hanging="426"/>
        <w:rPr>
          <w:rFonts w:ascii="Calibri" w:hAnsi="Calibri" w:cs="Times New Roman"/>
          <w:noProof/>
        </w:rPr>
      </w:pPr>
      <w:r>
        <w:rPr>
          <w:rFonts w:ascii="Calibri" w:hAnsi="Calibri" w:cs="Times New Roman"/>
          <w:noProof/>
        </w:rPr>
        <w:t>References:</w:t>
      </w:r>
    </w:p>
    <w:p w14:paraId="6914396B" w14:textId="77777777" w:rsidR="00184893" w:rsidRDefault="0064156F" w:rsidP="00141B14">
      <w:pPr>
        <w:widowControl w:val="0"/>
        <w:autoSpaceDE w:val="0"/>
        <w:autoSpaceDN w:val="0"/>
        <w:adjustRightInd w:val="0"/>
        <w:ind w:left="426" w:hanging="426"/>
        <w:rPr>
          <w:rFonts w:ascii="Calibri" w:hAnsi="Calibri" w:cs="Times New Roman"/>
          <w:noProof/>
        </w:rPr>
      </w:pPr>
      <w:r>
        <w:rPr>
          <w:rFonts w:ascii="Calibri" w:hAnsi="Calibri" w:cs="Times New Roman"/>
          <w:noProof/>
        </w:rPr>
        <w:t>Higher Education Statistics Agency (</w:t>
      </w:r>
      <w:r w:rsidR="00D5361B">
        <w:rPr>
          <w:rFonts w:ascii="Calibri" w:hAnsi="Calibri" w:cs="Times New Roman"/>
          <w:noProof/>
        </w:rPr>
        <w:t>HESA</w:t>
      </w:r>
      <w:r>
        <w:rPr>
          <w:rFonts w:ascii="Calibri" w:hAnsi="Calibri" w:cs="Times New Roman"/>
          <w:noProof/>
        </w:rPr>
        <w:t xml:space="preserve">). </w:t>
      </w:r>
      <w:r w:rsidR="00D5361B">
        <w:rPr>
          <w:rFonts w:ascii="Calibri" w:hAnsi="Calibri" w:cs="Times New Roman"/>
          <w:noProof/>
        </w:rPr>
        <w:t>(2022)</w:t>
      </w:r>
      <w:r>
        <w:rPr>
          <w:rFonts w:ascii="Calibri" w:hAnsi="Calibri" w:cs="Times New Roman"/>
          <w:noProof/>
        </w:rPr>
        <w:t>. HESA Report</w:t>
      </w:r>
      <w:r w:rsidR="003B73C8">
        <w:rPr>
          <w:rFonts w:ascii="Calibri" w:hAnsi="Calibri" w:cs="Times New Roman"/>
          <w:noProof/>
        </w:rPr>
        <w:t xml:space="preserve">: Who’s studying in HE?.  </w:t>
      </w:r>
      <w:r w:rsidR="00D5361B">
        <w:rPr>
          <w:rFonts w:ascii="Calibri" w:hAnsi="Calibri" w:cs="Times New Roman"/>
          <w:noProof/>
        </w:rPr>
        <w:t xml:space="preserve"> </w:t>
      </w:r>
      <w:hyperlink r:id="rId4" w:history="1">
        <w:r w:rsidR="00184893" w:rsidRPr="00671E85">
          <w:rPr>
            <w:rStyle w:val="Hyperlink"/>
            <w:rFonts w:ascii="Calibri" w:hAnsi="Calibri" w:cs="Times New Roman"/>
            <w:noProof/>
          </w:rPr>
          <w:t>https://www.hesa.ac.uk/data-and-analysis/students/whos-in-he</w:t>
        </w:r>
      </w:hyperlink>
      <w:r w:rsidR="00141B14">
        <w:rPr>
          <w:rFonts w:ascii="Calibri" w:hAnsi="Calibri" w:cs="Times New Roman"/>
          <w:noProof/>
        </w:rPr>
        <w:t xml:space="preserve"> </w:t>
      </w:r>
      <w:r w:rsidR="00184893">
        <w:rPr>
          <w:rFonts w:ascii="Calibri" w:hAnsi="Calibri" w:cs="Times New Roman"/>
          <w:noProof/>
        </w:rPr>
        <w:t xml:space="preserve"> </w:t>
      </w:r>
    </w:p>
    <w:p w14:paraId="47EBAB91" w14:textId="77777777" w:rsidR="00B76606" w:rsidRPr="00315977" w:rsidRDefault="00B76606" w:rsidP="003430A3">
      <w:pPr>
        <w:widowControl w:val="0"/>
        <w:autoSpaceDE w:val="0"/>
        <w:autoSpaceDN w:val="0"/>
        <w:adjustRightInd w:val="0"/>
        <w:ind w:left="426" w:hanging="426"/>
        <w:rPr>
          <w:rFonts w:ascii="Calibri" w:hAnsi="Calibri" w:cs="Times New Roman"/>
          <w:noProof/>
        </w:rPr>
      </w:pPr>
      <w:r w:rsidRPr="00315977">
        <w:rPr>
          <w:rFonts w:ascii="Calibri" w:hAnsi="Calibri" w:cs="Times New Roman"/>
          <w:noProof/>
        </w:rPr>
        <w:t>Stallman, H. M. (2010). Psychological distress in university students: A comparison with general</w:t>
      </w:r>
      <w:r w:rsidR="003430A3">
        <w:rPr>
          <w:rFonts w:ascii="Calibri" w:hAnsi="Calibri" w:cs="Times New Roman"/>
          <w:noProof/>
        </w:rPr>
        <w:t xml:space="preserve"> </w:t>
      </w:r>
      <w:r w:rsidRPr="00315977">
        <w:rPr>
          <w:rFonts w:ascii="Calibri" w:hAnsi="Calibri" w:cs="Times New Roman"/>
          <w:noProof/>
        </w:rPr>
        <w:t xml:space="preserve">population data. </w:t>
      </w:r>
      <w:r w:rsidRPr="00315977">
        <w:rPr>
          <w:rFonts w:ascii="Calibri" w:hAnsi="Calibri" w:cs="Times New Roman"/>
          <w:i/>
          <w:iCs/>
          <w:noProof/>
        </w:rPr>
        <w:t>Australian Psychologist</w:t>
      </w:r>
      <w:r w:rsidRPr="00315977">
        <w:rPr>
          <w:rFonts w:ascii="Calibri" w:hAnsi="Calibri" w:cs="Times New Roman"/>
          <w:noProof/>
        </w:rPr>
        <w:t xml:space="preserve">, </w:t>
      </w:r>
      <w:r w:rsidRPr="00315977">
        <w:rPr>
          <w:rFonts w:ascii="Calibri" w:hAnsi="Calibri" w:cs="Times New Roman"/>
          <w:i/>
          <w:iCs/>
          <w:noProof/>
        </w:rPr>
        <w:t>45</w:t>
      </w:r>
      <w:r w:rsidRPr="00315977">
        <w:rPr>
          <w:rFonts w:ascii="Calibri" w:hAnsi="Calibri" w:cs="Times New Roman"/>
          <w:noProof/>
        </w:rPr>
        <w:t xml:space="preserve">(4), 249–257. </w:t>
      </w:r>
      <w:hyperlink r:id="rId5" w:history="1">
        <w:r w:rsidR="005A0726" w:rsidRPr="00671E85">
          <w:rPr>
            <w:rStyle w:val="Hyperlink"/>
            <w:rFonts w:ascii="Calibri" w:hAnsi="Calibri" w:cs="Times New Roman"/>
            <w:noProof/>
          </w:rPr>
          <w:t>https://doi.org/10.1080/00050067.2010.482109</w:t>
        </w:r>
      </w:hyperlink>
      <w:r w:rsidR="005A0726">
        <w:rPr>
          <w:rFonts w:ascii="Calibri" w:hAnsi="Calibri" w:cs="Times New Roman"/>
          <w:noProof/>
        </w:rPr>
        <w:t xml:space="preserve"> </w:t>
      </w:r>
    </w:p>
    <w:p w14:paraId="3721B085" w14:textId="77777777" w:rsidR="003430A3" w:rsidRPr="003430A3" w:rsidRDefault="003430A3" w:rsidP="003430A3">
      <w:pPr>
        <w:ind w:left="426" w:hanging="426"/>
      </w:pPr>
      <w:proofErr w:type="spellStart"/>
      <w:r w:rsidRPr="003430A3">
        <w:t>Coneyworth</w:t>
      </w:r>
      <w:proofErr w:type="spellEnd"/>
      <w:r w:rsidRPr="003430A3">
        <w:t xml:space="preserve">, L., Jessop, R., </w:t>
      </w:r>
      <w:proofErr w:type="spellStart"/>
      <w:r w:rsidRPr="003430A3">
        <w:t>Maden</w:t>
      </w:r>
      <w:proofErr w:type="spellEnd"/>
      <w:r w:rsidRPr="003430A3">
        <w:t>, P., White, G. (20</w:t>
      </w:r>
      <w:r w:rsidR="00576615">
        <w:t>19</w:t>
      </w:r>
      <w:r w:rsidRPr="003430A3">
        <w:t xml:space="preserve">). The Overlooked Cohort? -- Improving the Taught Postgraduate Student Experience in Higher Education. </w:t>
      </w:r>
      <w:r w:rsidRPr="003430A3">
        <w:rPr>
          <w:i/>
        </w:rPr>
        <w:t>Innovations in Education and Teaching International</w:t>
      </w:r>
      <w:r w:rsidRPr="003430A3">
        <w:t xml:space="preserve"> 57(3): 262-273.</w:t>
      </w:r>
      <w:r w:rsidR="005A0726">
        <w:t xml:space="preserve"> </w:t>
      </w:r>
      <w:hyperlink r:id="rId6" w:history="1">
        <w:r w:rsidR="005A0726" w:rsidRPr="00671E85">
          <w:rPr>
            <w:rStyle w:val="Hyperlink"/>
          </w:rPr>
          <w:t>https://doi.org/10.1080/14703297.2019.1617184</w:t>
        </w:r>
      </w:hyperlink>
      <w:r w:rsidR="005A0726">
        <w:t xml:space="preserve"> </w:t>
      </w:r>
    </w:p>
    <w:p w14:paraId="227DA5CD" w14:textId="77777777" w:rsidR="002042F5" w:rsidRDefault="00541765">
      <w:r w:rsidRPr="00C649F9">
        <w:t xml:space="preserve"> </w:t>
      </w:r>
    </w:p>
    <w:sectPr w:rsidR="0020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2D"/>
    <w:rsid w:val="0005471D"/>
    <w:rsid w:val="000F45D7"/>
    <w:rsid w:val="00106003"/>
    <w:rsid w:val="00141B14"/>
    <w:rsid w:val="00173D70"/>
    <w:rsid w:val="00184893"/>
    <w:rsid w:val="00190AE5"/>
    <w:rsid w:val="002042F5"/>
    <w:rsid w:val="0021090C"/>
    <w:rsid w:val="00254CB8"/>
    <w:rsid w:val="0028497E"/>
    <w:rsid w:val="002B0200"/>
    <w:rsid w:val="002D40BE"/>
    <w:rsid w:val="002E6B22"/>
    <w:rsid w:val="002E7351"/>
    <w:rsid w:val="002F087F"/>
    <w:rsid w:val="00324698"/>
    <w:rsid w:val="003430A3"/>
    <w:rsid w:val="003566A5"/>
    <w:rsid w:val="00387DE7"/>
    <w:rsid w:val="00391518"/>
    <w:rsid w:val="003A5C76"/>
    <w:rsid w:val="003B73C8"/>
    <w:rsid w:val="003E280C"/>
    <w:rsid w:val="003F22CF"/>
    <w:rsid w:val="004502A5"/>
    <w:rsid w:val="00480228"/>
    <w:rsid w:val="00485E76"/>
    <w:rsid w:val="00491047"/>
    <w:rsid w:val="00492100"/>
    <w:rsid w:val="004E125D"/>
    <w:rsid w:val="004E4BEE"/>
    <w:rsid w:val="004F1076"/>
    <w:rsid w:val="004F736B"/>
    <w:rsid w:val="005143E1"/>
    <w:rsid w:val="00541765"/>
    <w:rsid w:val="00576615"/>
    <w:rsid w:val="005A0726"/>
    <w:rsid w:val="005A7824"/>
    <w:rsid w:val="005B7279"/>
    <w:rsid w:val="00611C09"/>
    <w:rsid w:val="00632FBC"/>
    <w:rsid w:val="0064156F"/>
    <w:rsid w:val="00651BE6"/>
    <w:rsid w:val="0068415D"/>
    <w:rsid w:val="006A0923"/>
    <w:rsid w:val="006A1ED0"/>
    <w:rsid w:val="006F6F0A"/>
    <w:rsid w:val="00701CC2"/>
    <w:rsid w:val="00787CFA"/>
    <w:rsid w:val="007F255D"/>
    <w:rsid w:val="0081165C"/>
    <w:rsid w:val="008825A5"/>
    <w:rsid w:val="008A1C71"/>
    <w:rsid w:val="008C54F0"/>
    <w:rsid w:val="008E07E3"/>
    <w:rsid w:val="009215F4"/>
    <w:rsid w:val="00955F96"/>
    <w:rsid w:val="00957317"/>
    <w:rsid w:val="00977B2B"/>
    <w:rsid w:val="009B2ABE"/>
    <w:rsid w:val="009B3B32"/>
    <w:rsid w:val="00AA6E97"/>
    <w:rsid w:val="00AA7D06"/>
    <w:rsid w:val="00AB551D"/>
    <w:rsid w:val="00AD2E68"/>
    <w:rsid w:val="00AD78E9"/>
    <w:rsid w:val="00AF0E21"/>
    <w:rsid w:val="00B37FA1"/>
    <w:rsid w:val="00B74696"/>
    <w:rsid w:val="00B76606"/>
    <w:rsid w:val="00B7792C"/>
    <w:rsid w:val="00B87961"/>
    <w:rsid w:val="00B87DBE"/>
    <w:rsid w:val="00BA3F4F"/>
    <w:rsid w:val="00BC728E"/>
    <w:rsid w:val="00C41712"/>
    <w:rsid w:val="00C6767B"/>
    <w:rsid w:val="00C71322"/>
    <w:rsid w:val="00C94136"/>
    <w:rsid w:val="00CC3A59"/>
    <w:rsid w:val="00CE4A49"/>
    <w:rsid w:val="00D10FF0"/>
    <w:rsid w:val="00D5361B"/>
    <w:rsid w:val="00D806D0"/>
    <w:rsid w:val="00D860FF"/>
    <w:rsid w:val="00DB1E48"/>
    <w:rsid w:val="00DD092D"/>
    <w:rsid w:val="00DD2734"/>
    <w:rsid w:val="00E50CD3"/>
    <w:rsid w:val="00EB79DA"/>
    <w:rsid w:val="00EC1A17"/>
    <w:rsid w:val="00F146BB"/>
    <w:rsid w:val="00F400B3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052B4"/>
  <w15:chartTrackingRefBased/>
  <w15:docId w15:val="{C9B613F0-4FDD-C54A-ACAB-120619CA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8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3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B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B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F400B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4703297.2019.1617184" TargetMode="External"/><Relationship Id="rId5" Type="http://schemas.openxmlformats.org/officeDocument/2006/relationships/hyperlink" Target="https://doi.org/10.1080/00050067.2010.482109" TargetMode="External"/><Relationship Id="rId4" Type="http://schemas.openxmlformats.org/officeDocument/2006/relationships/hyperlink" Target="https://www.hesa.ac.uk/data-and-analysis/students/whos-in-h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jm11/Library/CloudStorage/OneDrive-UniversityofStAndrews/Research/PGT%20Wellbeing/PGT%20Wellbeing%20BERA%20Blog%20Paula%20Miles%202023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PGT Wellbeing BERA Blog Paula Miles 2023 final.dotx</Template>
  <TotalTime>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Paula Miles</cp:lastModifiedBy>
  <cp:revision>2</cp:revision>
  <dcterms:created xsi:type="dcterms:W3CDTF">2023-11-20T13:10:00Z</dcterms:created>
  <dcterms:modified xsi:type="dcterms:W3CDTF">2023-11-20T13:12:00Z</dcterms:modified>
</cp:coreProperties>
</file>